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6010"/>
        <w:gridCol w:w="4894"/>
      </w:tblGrid>
      <w:tr w:rsidR="00BE3E59" w:rsidRPr="00ED7E39">
        <w:tc>
          <w:tcPr>
            <w:tcW w:w="6010" w:type="dxa"/>
          </w:tcPr>
          <w:p w:rsidR="00BE3E59" w:rsidRPr="00ED7E39" w:rsidRDefault="00BE3E59" w:rsidP="00ED7E39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  <w:r w:rsidRPr="008371AF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109.5pt;height:55.5pt;visibility:visible">
                  <v:imagedata r:id="rId7" o:title="" croptop="15534f" cropbottom="15977f"/>
                </v:shape>
              </w:pict>
            </w:r>
          </w:p>
        </w:tc>
        <w:tc>
          <w:tcPr>
            <w:tcW w:w="4894" w:type="dxa"/>
          </w:tcPr>
          <w:p w:rsidR="00BE3E59" w:rsidRPr="00ED7E39" w:rsidRDefault="00BE3E59" w:rsidP="001D40DB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«УТВЕРЖДЕНО»</w:t>
            </w:r>
          </w:p>
          <w:p w:rsidR="00BE3E59" w:rsidRDefault="00BE3E59" w:rsidP="001D40DB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Протокол</w:t>
            </w: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ом</w:t>
            </w: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 xml:space="preserve"> Правления ПАО «САРОВБИЗНЕСБАНК» № </w:t>
            </w: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33</w:t>
            </w: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 от </w:t>
            </w: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19</w:t>
            </w: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.</w:t>
            </w: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12</w:t>
            </w:r>
            <w:r w:rsidRPr="00ED7E39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.2016</w:t>
            </w: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t>г.</w:t>
            </w:r>
          </w:p>
          <w:p w:rsidR="00BE3E59" w:rsidRPr="00ED7E39" w:rsidRDefault="00BE3E59" w:rsidP="00ED7E39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</w:pPr>
          </w:p>
        </w:tc>
      </w:tr>
    </w:tbl>
    <w:p w:rsidR="00BE3E59" w:rsidRDefault="00BE3E59" w:rsidP="00B05E74">
      <w:pPr>
        <w:spacing w:after="240"/>
        <w:rPr>
          <w:rFonts w:ascii="Tahoma" w:hAnsi="Tahoma" w:cs="Tahoma"/>
          <w:noProof/>
          <w:sz w:val="24"/>
          <w:szCs w:val="24"/>
          <w:lang w:eastAsia="ru-RU"/>
        </w:rPr>
      </w:pPr>
    </w:p>
    <w:p w:rsidR="00BE3E59" w:rsidRDefault="00BE3E59" w:rsidP="00C47118">
      <w:pPr>
        <w:spacing w:after="240"/>
        <w:ind w:right="2692"/>
        <w:rPr>
          <w:rFonts w:ascii="Tahoma" w:hAnsi="Tahoma" w:cs="Tahoma"/>
          <w:sz w:val="36"/>
          <w:szCs w:val="36"/>
        </w:rPr>
      </w:pPr>
    </w:p>
    <w:p w:rsidR="00BE3E59" w:rsidRDefault="00BE3E59" w:rsidP="00C3471A">
      <w:pPr>
        <w:spacing w:after="240"/>
        <w:ind w:right="3401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Перечень тарифов и услуг ПАО </w:t>
      </w:r>
      <w:r w:rsidRPr="00C47118">
        <w:rPr>
          <w:rFonts w:ascii="Tahoma" w:hAnsi="Tahoma" w:cs="Tahoma"/>
          <w:sz w:val="36"/>
          <w:szCs w:val="36"/>
        </w:rPr>
        <w:t>«САР</w:t>
      </w:r>
      <w:r>
        <w:rPr>
          <w:rFonts w:ascii="Tahoma" w:hAnsi="Tahoma" w:cs="Tahoma"/>
          <w:sz w:val="36"/>
          <w:szCs w:val="36"/>
        </w:rPr>
        <w:t>ОВБИЗНЕСБАНК» по расчетно-касс</w:t>
      </w:r>
      <w:r w:rsidRPr="00C47118">
        <w:rPr>
          <w:rFonts w:ascii="Tahoma" w:hAnsi="Tahoma" w:cs="Tahoma"/>
          <w:sz w:val="36"/>
          <w:szCs w:val="36"/>
        </w:rPr>
        <w:t>овому обслуживанию физических лиц в рублях и инос</w:t>
      </w:r>
      <w:r>
        <w:rPr>
          <w:rFonts w:ascii="Tahoma" w:hAnsi="Tahoma" w:cs="Tahoma"/>
          <w:sz w:val="36"/>
          <w:szCs w:val="36"/>
        </w:rPr>
        <w:t>транной валюте (кроме счетов по </w:t>
      </w:r>
      <w:r w:rsidRPr="00C47118">
        <w:rPr>
          <w:rFonts w:ascii="Tahoma" w:hAnsi="Tahoma" w:cs="Tahoma"/>
          <w:sz w:val="36"/>
          <w:szCs w:val="36"/>
        </w:rPr>
        <w:t>банковским картам)</w:t>
      </w:r>
    </w:p>
    <w:p w:rsidR="00BE3E59" w:rsidRDefault="00BE3E59" w:rsidP="00C3471A">
      <w:pPr>
        <w:spacing w:after="240"/>
        <w:ind w:right="3401"/>
        <w:rPr>
          <w:rFonts w:ascii="Tahoma" w:hAnsi="Tahoma" w:cs="Tahoma"/>
          <w:sz w:val="36"/>
          <w:szCs w:val="36"/>
        </w:rPr>
      </w:pPr>
    </w:p>
    <w:p w:rsidR="00BE3E59" w:rsidRDefault="00BE3E59" w:rsidP="00C3471A">
      <w:pPr>
        <w:spacing w:after="240"/>
        <w:ind w:right="3401"/>
        <w:rPr>
          <w:rFonts w:ascii="Tahoma" w:hAnsi="Tahoma" w:cs="Tahoma"/>
          <w:sz w:val="24"/>
          <w:szCs w:val="24"/>
        </w:rPr>
      </w:pPr>
    </w:p>
    <w:p w:rsidR="00BE3E59" w:rsidRPr="00B05E74" w:rsidRDefault="00BE3E59" w:rsidP="00B05E74">
      <w:pPr>
        <w:spacing w:after="240"/>
        <w:rPr>
          <w:rFonts w:ascii="Tahoma" w:hAnsi="Tahoma" w:cs="Tahoma"/>
          <w:sz w:val="24"/>
          <w:szCs w:val="24"/>
        </w:rPr>
      </w:pPr>
      <w:r w:rsidRPr="00E21E57">
        <w:rPr>
          <w:rFonts w:ascii="Tahoma" w:hAnsi="Tahoma" w:cs="Tahoma"/>
          <w:sz w:val="24"/>
          <w:szCs w:val="24"/>
        </w:rPr>
        <w:t>Раздел 1.  Обслуживание счетов по вкладам физических лиц и текущих счетов</w:t>
      </w:r>
    </w:p>
    <w:tbl>
      <w:tblPr>
        <w:tblW w:w="10773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30"/>
        <w:gridCol w:w="1324"/>
        <w:gridCol w:w="32"/>
        <w:gridCol w:w="1292"/>
        <w:gridCol w:w="212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6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215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0157" w:type="dxa"/>
            <w:gridSpan w:val="8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Открытие счета по вкладу физического лица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1.1.1 в рублях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1.1.2 в долларах США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1.1.3 в евро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Открытие текущего счета в рамках кредитного договора между физическим лицом и ПАО «САРОВБИЗНЕСБАНК»</w:t>
            </w:r>
          </w:p>
        </w:tc>
        <w:tc>
          <w:tcPr>
            <w:tcW w:w="3972" w:type="dxa"/>
            <w:gridSpan w:val="5"/>
            <w:noWrap/>
          </w:tcPr>
          <w:p w:rsidR="00BE3E5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BE3E5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б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есплатно</w:t>
            </w:r>
          </w:p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Открытие текущего счета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1.3.1 в рублях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1.3.2 в долларах США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10 USD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1.3.4 в евро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10 EUR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1.3.5 в фунтах стерлингов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10 GBP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1.3.6 в китайских юанях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10 USD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Ведение счета по вкладу физического лица в течение срока действия срочного вклада в ПАО «САРОВБИЗНЕСБАНК»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160" w:type="dxa"/>
            <w:gridSpan w:val="7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Ведение счета по вкладу физического лица:</w:t>
            </w:r>
          </w:p>
        </w:tc>
        <w:tc>
          <w:tcPr>
            <w:tcW w:w="997" w:type="dxa"/>
            <w:vMerge w:val="restart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1.5.1 в рублях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случае если остаток на счете по вкладу физического лица равен нулю или равен и более 1000 рублей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случае если остаток на счете по вкладу физического лица от 0,01 рубля до 1000 рублей: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при наличии операций по счету по вкладу физического лица (за исключением операций по выплате процентов и оплате комиссий) в течение последних 2 лет;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при отсутствии операций по счету по вкладу физического лица (за исключением операций по выплате процентов и оплате комиссий) 2 года и более с момента последней операции по счету по вкладу физического лица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150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рублей</w:t>
            </w:r>
            <w:r w:rsidRPr="00ED7E39"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1.5.2 в долларах США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5 USD</w:t>
            </w:r>
            <w:r w:rsidRPr="00ED7E39"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1.5.3 в евро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5 EUR</w:t>
            </w:r>
            <w:r w:rsidRPr="00ED7E39"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Ведение текущего счета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1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6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.1 в рублях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471091">
            <w:pPr>
              <w:spacing w:after="0" w:line="240" w:lineRule="auto"/>
              <w:ind w:left="644" w:hanging="18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  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случае если остаток на текущем счете равен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       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нулю или равен и более 1000 рублей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0B3CF9">
            <w:pPr>
              <w:spacing w:after="0" w:line="240" w:lineRule="auto"/>
              <w:ind w:left="824" w:hanging="36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 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случае если остаток на текущем счете по вкладу физического лица от 0,01 рубля до 1000 рублей: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наличии операций по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текущему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счету (за исключением операций по выплате процентов и оплате комиссий) в течение последних 2 лет;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отсутствии операций по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текущему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счету (за исключением операций по выплате процентов и оплате комиссий) 2 года и более с момента последней операции по счету по вкладу физического лица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при отсутствии ареста по текущему счету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150 рублей</w:t>
            </w:r>
            <w:r w:rsidRPr="00ED7E39"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6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долларах США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USD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6.3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евро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EUR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1.6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фунтах стерлингов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5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GBP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1.6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.5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китайских юанях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14F5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USD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Прием наличных денежных средств для зачисления на счет по вкладу физического лица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/на текущий счет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1.7.1 в рублях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1.7.2 в иностранной валюте</w:t>
            </w:r>
          </w:p>
        </w:tc>
        <w:tc>
          <w:tcPr>
            <w:tcW w:w="3972" w:type="dxa"/>
            <w:gridSpan w:val="5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Безналичное зачисление на счет по вкладу физического лица денежных средств: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1.8.1 поступающих со счетов (за исключением счетов индивидуальных предпринимателей, адвокатов, нотариусов, глав КФХ) открытых физическими лицами в ПАО «САРОВБИЗНЕСБАНК», а также перечисленных физическими лицами путем перевода денежных средств по поручению физического лица без открытия банковского счета из ПАО «САРОВБИЗНЕСБАНК»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1.8.2 поступающих в виде алиментов; пособий, перечисленных Фондом социального страхования РФ; иных социальных выплат, компенсаций, субсидий, пособий и т.п., поступающих со счетов, открытых для учета средств Федерального бюджета, бюджетов субъектов РФ и местных бюджетов, прочих средств бюджета, возврата ранее перечисленных средств в оплату исполнительных документов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1.8.3 поступающих в виде пенсий, пособий, компенсаций, единовременных выплат и пр., перечисляемых Пенсионным Фондом РФ и органами социальной защиты населения, а также зачисления с внутрибанковских счетов ПАО «САРОВБИЗНЕСБАНК» (по внутрихозяйственным операциям)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1.8.4 поступающих в качестве возврата от юридического лица займа, перечисленного ранее на счет этого юридического лица с данного счета по вкладу физического лица</w:t>
            </w:r>
          </w:p>
        </w:tc>
        <w:tc>
          <w:tcPr>
            <w:tcW w:w="1324" w:type="dxa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зачисления</w:t>
            </w:r>
          </w:p>
        </w:tc>
        <w:tc>
          <w:tcPr>
            <w:tcW w:w="1324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1.8.5 при получении Банком вознаграждения за данные операции с отправителя денежных средств на основании заключенного договора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1.8.6 поступающих в рамках кредитного договора между физическим лицом и ПАО «САРОВБИЗНЕСБАНК»</w:t>
            </w:r>
          </w:p>
        </w:tc>
        <w:tc>
          <w:tcPr>
            <w:tcW w:w="3972" w:type="dxa"/>
            <w:gridSpan w:val="5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727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Безналичное зачисление денежных средств на счет по вкладу физического лица (за исключением зачислений, указанных в пункте 1.8 настоящего Перечня тарифов)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60199F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9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.1 в рублях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60199F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зачисления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60199F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60199F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9.2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иностранной валюте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Безналичное зачисление денежных средств, поступивших на текущие счета физических лиц: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1.10.1 в рублях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1.10.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иностранной валюте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Безналичное зачисление на счет иностранной валюты, отличной от валюты счета клиента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 кросс-курсу Банка, действующему на дату совершения операции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Выдача наличных денежных средств со счет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а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 вкладу физического лица: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.1 в рублях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.2 в иностранной валюте: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наличными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деньгами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путем в рамках кредитного договора между физическим лицами  ПАО «САРОВБИЗНЕСБАНК»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путем в качестве командировочных расходов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путём, при нахождении иностранной валюты на счете 31 день и более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0,2% от суммы выдаваемых денежных средств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путём, в случае нахождения иностранной валюты на счете менее 31 дня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выдаваемых денежных средств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405"/>
        </w:trPr>
        <w:tc>
          <w:tcPr>
            <w:tcW w:w="616" w:type="dxa"/>
            <w:shd w:val="clear" w:color="auto" w:fill="D9D9D9"/>
            <w:noWrap/>
            <w:vAlign w:val="center"/>
          </w:tcPr>
          <w:p w:rsidR="00BE3E59" w:rsidRPr="0066456D" w:rsidRDefault="00BE3E59" w:rsidP="00B5220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Выдача наличных денежных средств с т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екущего счета, открытого: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1.13.1 в рублях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1C44BE">
            <w:pPr>
              <w:spacing w:after="0" w:line="240" w:lineRule="auto"/>
              <w:ind w:left="644" w:hanging="18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- 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поступивших на текущий счет наличными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деньгами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7E4AE2">
            <w:pPr>
              <w:spacing w:after="0" w:line="240" w:lineRule="auto"/>
              <w:ind w:left="567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текущий счет безналичным путем по кредиту в ПАО «САРОВБИЗНЕСБАНК»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7E4AE2">
            <w:pPr>
              <w:spacing w:after="0" w:line="240" w:lineRule="auto"/>
              <w:ind w:left="567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текущий счет безналичным путем в виде начисленных процентов по договорам по вкладам физических лиц, открытых в ПАО «САРОВБИЗНЕСБАНК»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F768CD">
            <w:pPr>
              <w:spacing w:after="0" w:line="240" w:lineRule="auto"/>
              <w:ind w:left="567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поступающих в виде алиментов; пособий, перечисленных Фондом социального страхования РФ; иных социальных выплат, компенсаций, субсидий, пособий и т.п., поступающих со счетов, открытых для учета средств Федерального бюджета, бюджетов субъектов РФ и местных бюджетов, прочих средств бюджета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F768CD">
            <w:pPr>
              <w:spacing w:after="0" w:line="240" w:lineRule="auto"/>
              <w:ind w:left="567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текущий счет безналичным путем, при нахождении денежных средств на текущем счете 31 день и более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F768CD">
            <w:pPr>
              <w:spacing w:after="0" w:line="240" w:lineRule="auto"/>
              <w:ind w:left="567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текущий счет безналичным путем, при нахождении денежных средств на текущем счете менее 31 дня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расходной операции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Default="00BE3E59" w:rsidP="009A7459">
            <w:pPr>
              <w:spacing w:after="0" w:line="240" w:lineRule="auto"/>
              <w:ind w:left="103" w:hanging="10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1.13.2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в иностранной валюте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наличными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деньгами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путем в рамках кредитного договора между физическим лицами  ПАО «САРОВБИЗНЕСБАНК»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путем в качестве командировочных расходов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путём, при нахождении иностранной валюты на счете 31 день и более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0,2% от суммы выдаваемых денежных средств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  <w:p w:rsidR="00BE3E59" w:rsidRPr="00ED7E39" w:rsidRDefault="00BE3E59" w:rsidP="00ED7E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B858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94" w:hanging="340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поступивших на счет безналичным путём, в случае нахождения иностранной валюты на счете менее 31 дня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выдаваемых денежных средств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B8588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Расчеты аккредитивами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аккредитива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88" w:type="dxa"/>
            <w:gridSpan w:val="2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Расчеты аккредитивами при получении Банком вознаграждения за данные операции на основании договора банковского счета и расчетно-кассового обслуживания от получателя средств</w:t>
            </w:r>
          </w:p>
        </w:tc>
        <w:tc>
          <w:tcPr>
            <w:tcW w:w="3972" w:type="dxa"/>
            <w:gridSpan w:val="5"/>
            <w:shd w:val="clear" w:color="auto" w:fill="D9D9D9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7" w:type="dxa"/>
            <w:shd w:val="clear" w:color="auto" w:fill="D9D9D9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83"/>
        </w:trPr>
        <w:tc>
          <w:tcPr>
            <w:tcW w:w="616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1.1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88" w:type="dxa"/>
            <w:gridSpan w:val="2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Изготовление справок по запросам клиентов о наличии/отсутствии счетов по вкладам физических лиц и текущим счетам в рублях и иностранной валюте</w:t>
            </w:r>
          </w:p>
        </w:tc>
        <w:tc>
          <w:tcPr>
            <w:tcW w:w="3972" w:type="dxa"/>
            <w:gridSpan w:val="5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250 рублей включая НДС</w:t>
            </w:r>
          </w:p>
        </w:tc>
        <w:tc>
          <w:tcPr>
            <w:tcW w:w="997" w:type="dxa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10773"/>
      </w:tblGrid>
      <w:tr w:rsidR="00BE3E59" w:rsidRPr="00ED7E39">
        <w:trPr>
          <w:trHeight w:val="20"/>
        </w:trPr>
        <w:tc>
          <w:tcPr>
            <w:tcW w:w="10773" w:type="dxa"/>
            <w:shd w:val="clear" w:color="auto" w:fill="FFFFFF"/>
          </w:tcPr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E3E59" w:rsidRPr="00A01AC6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24"/>
                <w:szCs w:val="24"/>
              </w:rPr>
              <w:t>Раздел 2.  Переводы денежных средств в пользу физических лиц в рублях</w:t>
            </w:r>
          </w:p>
        </w:tc>
      </w:tr>
    </w:tbl>
    <w:tbl>
      <w:tblPr>
        <w:tblW w:w="10773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1386"/>
        <w:gridCol w:w="1504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3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215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4"/>
        <w:gridCol w:w="88"/>
        <w:gridCol w:w="5105"/>
        <w:gridCol w:w="1423"/>
        <w:gridCol w:w="1275"/>
        <w:gridCol w:w="1276"/>
        <w:gridCol w:w="972"/>
        <w:gridCol w:w="6"/>
        <w:gridCol w:w="14"/>
      </w:tblGrid>
      <w:tr w:rsidR="00BE3E59" w:rsidRPr="00ED7E39">
        <w:trPr>
          <w:gridAfter w:val="1"/>
          <w:wAfter w:w="14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Перевод денежных средств со счета по вкладу физического лица:</w:t>
            </w:r>
          </w:p>
        </w:tc>
        <w:tc>
          <w:tcPr>
            <w:tcW w:w="1423" w:type="dxa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gridSpan w:val="2"/>
            <w:shd w:val="clear" w:color="auto" w:fill="D9D9D9"/>
            <w:noWrap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2.1.1 на собственные счета (за исключением счетов индивидуальных предпринимателей, адвокатов, нотариусов, глав КФХ), открытые в подразделения ПАО "САРОВБИЗНЕСБАНК" на свое имя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2.1.2 на счета других физических лиц (за исключением счетов индивидуальных предпринимателей, адвокатов, нотариусов, глав КФХ), открытые в подразделения ПАО "САРОВБИЗНЕСБАНК" 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2.1.3 полученных в рамках кредитного договора в ПАО "САРОВБИЗНЕСБАНК"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2.1.4 на  счета физических лиц, открытые в других кредитных организациях</w:t>
            </w:r>
          </w:p>
        </w:tc>
        <w:tc>
          <w:tcPr>
            <w:tcW w:w="1423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75 рублей</w:t>
            </w:r>
          </w:p>
        </w:tc>
        <w:tc>
          <w:tcPr>
            <w:tcW w:w="1276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1"/>
          <w:wAfter w:w="14" w:type="dxa"/>
          <w:trHeight w:val="20"/>
        </w:trPr>
        <w:tc>
          <w:tcPr>
            <w:tcW w:w="702" w:type="dxa"/>
            <w:gridSpan w:val="2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105" w:type="dxa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Перевод денежных средств с текущего счета:</w:t>
            </w:r>
          </w:p>
        </w:tc>
        <w:tc>
          <w:tcPr>
            <w:tcW w:w="1423" w:type="dxa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2.2.1 на  собственные счета (за исключением счетов индивидуальных предпринимателей, адвокатов, нотариусов, глав КФХ), открытые в подразделения ПАО "САРОВБИЗНЕСБАНК" </w:t>
            </w:r>
          </w:p>
        </w:tc>
        <w:tc>
          <w:tcPr>
            <w:tcW w:w="3974" w:type="dxa"/>
            <w:gridSpan w:val="3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</w:tcPr>
          <w:p w:rsidR="00BE3E59" w:rsidRPr="00A01AC6" w:rsidRDefault="00BE3E59" w:rsidP="00DD2856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</w:tcPr>
          <w:p w:rsidR="00BE3E59" w:rsidRPr="00A01AC6" w:rsidRDefault="00BE3E59" w:rsidP="00DD2856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2.2.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счета других физических лиц (за исключением счетов индивидуальных предпринимателей, адвокатов, нотариусов, глав КФХ), открытые в подразделения ПАО "САРОВБИЗНЕСБАНК" </w:t>
            </w:r>
          </w:p>
        </w:tc>
        <w:tc>
          <w:tcPr>
            <w:tcW w:w="3974" w:type="dxa"/>
            <w:gridSpan w:val="3"/>
          </w:tcPr>
          <w:p w:rsidR="00BE3E59" w:rsidRPr="00A01AC6" w:rsidRDefault="00BE3E59" w:rsidP="00DD2856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noWrap/>
          </w:tcPr>
          <w:p w:rsidR="00BE3E59" w:rsidRPr="00A01AC6" w:rsidRDefault="00BE3E59" w:rsidP="00DD2856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2.2.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3</w:t>
            </w: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полученных по кредиту в ПАО "САРОВБИЗНЕСБАНК"</w:t>
            </w:r>
          </w:p>
        </w:tc>
        <w:tc>
          <w:tcPr>
            <w:tcW w:w="3974" w:type="dxa"/>
            <w:gridSpan w:val="3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702" w:type="dxa"/>
            <w:gridSpan w:val="2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2.2.4</w:t>
            </w: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счета физических лиц, открытые в других кредитных организациях</w:t>
            </w:r>
          </w:p>
        </w:tc>
        <w:tc>
          <w:tcPr>
            <w:tcW w:w="1423" w:type="dxa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перевода</w:t>
            </w:r>
          </w:p>
        </w:tc>
        <w:tc>
          <w:tcPr>
            <w:tcW w:w="1275" w:type="dxa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6" w:type="dxa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1"/>
          <w:wAfter w:w="14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Перевод денежных средств по поручению физического лица без открытия банковского счета:</w:t>
            </w:r>
          </w:p>
        </w:tc>
        <w:tc>
          <w:tcPr>
            <w:tcW w:w="1423" w:type="dxa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shd w:val="clear" w:color="auto" w:fill="D9D9D9"/>
            <w:noWrap/>
          </w:tcPr>
          <w:p w:rsidR="00BE3E59" w:rsidRPr="00A01AC6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2.3.1 на счета, открытые в ПАО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"САРОВБИЗНЕСБАНК"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72" w:type="dxa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2.3.2 на счета получателей, открытые в других кредитных организациях (за исключением переводов по системе "WesternUnion" и "Золотая корона") </w:t>
            </w:r>
          </w:p>
        </w:tc>
        <w:tc>
          <w:tcPr>
            <w:tcW w:w="1423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перевода</w:t>
            </w:r>
          </w:p>
        </w:tc>
        <w:tc>
          <w:tcPr>
            <w:tcW w:w="127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6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After w:val="2"/>
          <w:wAfter w:w="20" w:type="dxa"/>
          <w:trHeight w:val="20"/>
        </w:trPr>
        <w:tc>
          <w:tcPr>
            <w:tcW w:w="702" w:type="dxa"/>
            <w:gridSpan w:val="2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2.3.3 переводы по системе "WesternUnion" и "Золотая корона"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согласно тарифов системы "WesternUnion" / "Золотая корона"</w:t>
            </w:r>
          </w:p>
        </w:tc>
        <w:tc>
          <w:tcPr>
            <w:tcW w:w="972" w:type="dxa"/>
            <w:shd w:val="clear" w:color="auto" w:fill="D9D9D9"/>
            <w:noWrap/>
          </w:tcPr>
          <w:p w:rsidR="00BE3E59" w:rsidRPr="00A01AC6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A01AC6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10773" w:type="dxa"/>
            <w:gridSpan w:val="9"/>
            <w:shd w:val="clear" w:color="auto" w:fill="FFFFFF"/>
          </w:tcPr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E3E59" w:rsidRPr="00246242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sz w:val="24"/>
                <w:szCs w:val="24"/>
              </w:rPr>
              <w:t>Раздел 3.  Переводы и платежи в пользу юридических лиц и индивидуальных предпринимателей, адвокатов, нотариусов и глав крестьянских (фермерских) хозяйств в рублях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93" w:type="dxa"/>
            <w:gridSpan w:val="2"/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3974" w:type="dxa"/>
            <w:gridSpan w:val="3"/>
            <w:tcBorders>
              <w:bottom w:val="single" w:sz="4" w:space="0" w:color="FFFFFF"/>
            </w:tcBorders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jc w:val="center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2" w:type="dxa"/>
            <w:gridSpan w:val="3"/>
            <w:vMerge w:val="restart"/>
            <w:shd w:val="clear" w:color="auto" w:fill="808080"/>
            <w:noWrap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6F307B" w:rsidRDefault="00BE3E59" w:rsidP="006F307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  <w:r w:rsidRPr="006F307B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2" w:type="dxa"/>
            <w:gridSpan w:val="3"/>
            <w:vMerge/>
            <w:shd w:val="clear" w:color="auto" w:fill="808080"/>
            <w:noWrap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Перевод денежных средств со счета по вкладу физического лица на счета юридических лиц и индивидуальных предпринимателей, адвокатов, нотариусов, глав КФХ: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D9D9D9"/>
            <w:noWrap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3.1.1 открытые в подразделениях ПАО "САРОВБИЗНЕСБАНК"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75 рублей 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3.1.2 открытые в других кредитных организациях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75 рублей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193" w:type="dxa"/>
            <w:gridSpan w:val="2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Перевод денежных средств с текущего счета в пользу юридического лица на счета:</w:t>
            </w:r>
          </w:p>
        </w:tc>
        <w:tc>
          <w:tcPr>
            <w:tcW w:w="1423" w:type="dxa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3.2.1 открытые в подразделениях ПАО "САРОВБИЗНЕСБАНК"</w:t>
            </w:r>
          </w:p>
        </w:tc>
        <w:tc>
          <w:tcPr>
            <w:tcW w:w="1423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перечисления</w:t>
            </w:r>
          </w:p>
        </w:tc>
        <w:tc>
          <w:tcPr>
            <w:tcW w:w="1275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75 рублей</w:t>
            </w:r>
          </w:p>
        </w:tc>
        <w:tc>
          <w:tcPr>
            <w:tcW w:w="1276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3.2.2 открытые в других кредитных организациях</w:t>
            </w:r>
          </w:p>
        </w:tc>
        <w:tc>
          <w:tcPr>
            <w:tcW w:w="1423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6" w:type="dxa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Перевод денежных средств по поручению физического лица без открытия банковского счета 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D9D9D9"/>
            <w:noWrap/>
          </w:tcPr>
          <w:p w:rsidR="00BE3E59" w:rsidRPr="00246242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3.3.1 в пользу юридического лица, заключившего с банком договор об оказании услуг, связанных с перечислением денежных средств, на условиях взимания комиссии с получателя платежа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</w:t>
            </w: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фис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, </w:t>
            </w: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  <w:r w:rsidRPr="00E10816"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3.3.2 в пользу юридического лица на счета, открытые в подразделениях ПАО "САРОВБИЗНЕСБАНК"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0,5 %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75 рублей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vMerge w:val="restart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3.3.3 в пользу юридического лица на счета, открытые в других кредитных организациях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100 рублей 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vMerge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1 %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50 рублей 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  <w:r w:rsidRPr="000761BA"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3.3.4 в бюджет всех уровней в связи с уплатой налогов и сборов в соответствии с Налоговым кодексом РФ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; в связи с уплатой страховых взносов, пеней, штрафов в Пенсионный фонд РФ, Федеральный фонд обязательного медицинского страхования, Фонд социального страхования РФ</w:t>
            </w:r>
          </w:p>
        </w:tc>
        <w:tc>
          <w:tcPr>
            <w:tcW w:w="3974" w:type="dxa"/>
            <w:gridSpan w:val="3"/>
            <w:shd w:val="clear" w:color="auto" w:fill="D9D9D9"/>
            <w:noWrap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3.3.5 в бюджет всех уровней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части оплаты  штрафов </w:t>
            </w: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ГИБДД</w:t>
            </w:r>
          </w:p>
        </w:tc>
        <w:tc>
          <w:tcPr>
            <w:tcW w:w="1423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75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1276" w:type="dxa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3.3.6 в пользу юридического лица, заключившего с банком договор/соглашение об оказании услуг, связанных с перечислением денежных средств, на условиях взимания комиссии с плательщика платежа (Приложение № 1)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согласно Приложению № 1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614" w:type="dxa"/>
            <w:shd w:val="clear" w:color="auto" w:fill="D9D9D9"/>
          </w:tcPr>
          <w:p w:rsidR="00BE3E59" w:rsidRPr="002D1B91" w:rsidRDefault="00BE3E59" w:rsidP="00BE3E59">
            <w:pPr>
              <w:spacing w:after="0" w:line="240" w:lineRule="auto"/>
              <w:ind w:firstLineChars="100" w:firstLine="31680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93" w:type="dxa"/>
            <w:gridSpan w:val="2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3.3.7 в пользу юридического лица, заключившего с банком договор/соглашение об оказании услуг, связанных с перечислением денежных средств, на условиях взимания комиссии с плательщика платежа (Приложение № 2)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46242">
              <w:rPr>
                <w:rFonts w:ascii="Tahoma" w:hAnsi="Tahoma" w:cs="Tahoma"/>
                <w:sz w:val="18"/>
                <w:szCs w:val="18"/>
                <w:lang w:eastAsia="ru-RU"/>
              </w:rPr>
              <w:t>согласно Приложению № 2</w:t>
            </w:r>
          </w:p>
        </w:tc>
        <w:tc>
          <w:tcPr>
            <w:tcW w:w="992" w:type="dxa"/>
            <w:gridSpan w:val="3"/>
            <w:shd w:val="clear" w:color="auto" w:fill="D9D9D9"/>
          </w:tcPr>
          <w:p w:rsidR="00BE3E59" w:rsidRPr="00246242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УС</w:t>
            </w:r>
            <w:r w:rsidRPr="00E8266F"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BE3E59" w:rsidRPr="00ED7E39">
        <w:trPr>
          <w:trHeight w:val="340"/>
        </w:trPr>
        <w:tc>
          <w:tcPr>
            <w:tcW w:w="10773" w:type="dxa"/>
            <w:gridSpan w:val="9"/>
            <w:shd w:val="clear" w:color="auto" w:fill="FFFFFF"/>
            <w:noWrap/>
          </w:tcPr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E3E59" w:rsidRPr="002D1B91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Раздел 4. </w:t>
            </w:r>
            <w:r w:rsidRPr="00C55A53">
              <w:rPr>
                <w:rFonts w:ascii="Tahoma" w:hAnsi="Tahoma" w:cs="Tahoma"/>
                <w:sz w:val="24"/>
                <w:szCs w:val="24"/>
                <w:lang w:eastAsia="ru-RU"/>
              </w:rPr>
              <w:t>Переводы в иностранной валюте</w:t>
            </w:r>
          </w:p>
        </w:tc>
      </w:tr>
    </w:tbl>
    <w:tbl>
      <w:tblPr>
        <w:tblW w:w="10773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1386"/>
        <w:gridCol w:w="1504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3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215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68"/>
        <w:gridCol w:w="5239"/>
        <w:gridCol w:w="1321"/>
        <w:gridCol w:w="1514"/>
        <w:gridCol w:w="1139"/>
        <w:gridCol w:w="992"/>
      </w:tblGrid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5239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Переводы со счета, а также без открытия счета в указанной в поручении клиента сумме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(поручения клиента исполняются не позднее следующего рабочего дня от даты их принятия банком):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4.1.1 в долларах США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321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0,1% от суммы перевода</w:t>
            </w:r>
          </w:p>
        </w:tc>
        <w:tc>
          <w:tcPr>
            <w:tcW w:w="15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30 USD</w:t>
            </w:r>
          </w:p>
        </w:tc>
        <w:tc>
          <w:tcPr>
            <w:tcW w:w="11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160 USD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9" w:type="dxa"/>
            <w:shd w:val="clear" w:color="auto" w:fill="D9D9D9"/>
          </w:tcPr>
          <w:p w:rsidR="00BE3E59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4.1.2 в евро*</w:t>
            </w:r>
          </w:p>
          <w:p w:rsidR="00BE3E59" w:rsidRPr="002D1B91" w:rsidRDefault="00BE3E59" w:rsidP="00843FAD">
            <w:pPr>
              <w:spacing w:after="0" w:line="240" w:lineRule="auto"/>
              <w:ind w:left="512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в случае если поручение Клиента передано в банк после 12-00 для возможности исполнения его текущим днем, клиент дополнительно вносит гарантийный взнос в размере 100 EUR на 10 рабочих дней для покрытия возможных комиссий третьих банков корреспондентов</w:t>
            </w:r>
          </w:p>
        </w:tc>
        <w:tc>
          <w:tcPr>
            <w:tcW w:w="1321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0,1% от суммы перевода</w:t>
            </w:r>
          </w:p>
        </w:tc>
        <w:tc>
          <w:tcPr>
            <w:tcW w:w="15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20 EUR</w:t>
            </w:r>
          </w:p>
        </w:tc>
        <w:tc>
          <w:tcPr>
            <w:tcW w:w="11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160 EUR 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9" w:type="dxa"/>
            <w:shd w:val="clear" w:color="auto" w:fill="D9D9D9"/>
          </w:tcPr>
          <w:p w:rsidR="00BE3E59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4.1.3 в английских фун</w:t>
            </w: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тах стерлингов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ru-RU"/>
              </w:rPr>
              <w:t>4</w:t>
            </w:r>
          </w:p>
          <w:p w:rsidR="00BE3E59" w:rsidRPr="002D1B91" w:rsidRDefault="00BE3E59" w:rsidP="00E64D48">
            <w:pPr>
              <w:spacing w:after="0" w:line="240" w:lineRule="auto"/>
              <w:ind w:left="512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в случае если поручение Клиента передано в банк после 12-00 для возможности исполнения его текущим днем, клиент дополнительно вносит гарантийный взнос в размере 100 </w:t>
            </w:r>
            <w:r w:rsidRPr="00431D3D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GBP</w:t>
            </w: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 на 10 рабочих дней для покрытия возможных комиссий третьих банков корреспондентов</w:t>
            </w:r>
          </w:p>
        </w:tc>
        <w:tc>
          <w:tcPr>
            <w:tcW w:w="1321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0,1% от суммы перевода</w:t>
            </w:r>
          </w:p>
        </w:tc>
        <w:tc>
          <w:tcPr>
            <w:tcW w:w="15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30 GBP</w:t>
            </w:r>
          </w:p>
        </w:tc>
        <w:tc>
          <w:tcPr>
            <w:tcW w:w="11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160 GBP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9" w:type="dxa"/>
            <w:shd w:val="clear" w:color="auto" w:fill="D9D9D9"/>
          </w:tcPr>
          <w:p w:rsidR="00BE3E59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4.1.4 в китайских юанях </w:t>
            </w:r>
          </w:p>
          <w:p w:rsidR="00BE3E59" w:rsidRPr="002D1B91" w:rsidRDefault="00BE3E59" w:rsidP="00624B89">
            <w:pPr>
              <w:spacing w:after="0" w:line="240" w:lineRule="auto"/>
              <w:ind w:left="512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поручения Клиента в китайских юанях исполняются только следующим рабочим днем - для целей данного </w:t>
            </w:r>
            <w:r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пункта рабочим днём считается день, в который проводятся банковские операции в Российской Федерации и в стране валюты платежа</w:t>
            </w:r>
          </w:p>
        </w:tc>
        <w:tc>
          <w:tcPr>
            <w:tcW w:w="1321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0,15% от суммы перевода</w:t>
            </w:r>
          </w:p>
        </w:tc>
        <w:tc>
          <w:tcPr>
            <w:tcW w:w="15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35 USD</w:t>
            </w:r>
          </w:p>
        </w:tc>
        <w:tc>
          <w:tcPr>
            <w:tcW w:w="11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160 USD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9" w:type="dxa"/>
            <w:shd w:val="clear" w:color="auto" w:fill="D9D9D9"/>
          </w:tcPr>
          <w:p w:rsidR="00BE3E59" w:rsidRDefault="00BE3E59" w:rsidP="006F307B">
            <w:pPr>
              <w:spacing w:after="0" w:line="240" w:lineRule="auto"/>
              <w:ind w:left="454" w:hanging="45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4.1.5 в других валютах*</w:t>
            </w:r>
          </w:p>
          <w:p w:rsidR="00BE3E59" w:rsidRPr="002D1B91" w:rsidRDefault="00BE3E59" w:rsidP="00175291">
            <w:pPr>
              <w:spacing w:after="0" w:line="240" w:lineRule="auto"/>
              <w:ind w:left="512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при этом клиент дополнительно вносит гарантийный взнос в размере 100 USD на 10 рабочих дней для покрытия возможных комиссий третьих банков корреспондентов</w:t>
            </w:r>
          </w:p>
        </w:tc>
        <w:tc>
          <w:tcPr>
            <w:tcW w:w="1321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0,1% от суммы перевода</w:t>
            </w:r>
          </w:p>
        </w:tc>
        <w:tc>
          <w:tcPr>
            <w:tcW w:w="1514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30 USD</w:t>
            </w:r>
          </w:p>
        </w:tc>
        <w:tc>
          <w:tcPr>
            <w:tcW w:w="1139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160 USD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5239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Исполнение платежного поручения в иностранной валюте, отличной от валюты счета (вносимой валюты – в случае осуществления перевода без открытия счета) (конверсионная операция) </w:t>
            </w:r>
          </w:p>
        </w:tc>
        <w:tc>
          <w:tcPr>
            <w:tcW w:w="3974" w:type="dxa"/>
            <w:gridSpan w:val="3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по кросс-курсу банка, действующему на дату совершения операции</w:t>
            </w:r>
          </w:p>
        </w:tc>
        <w:tc>
          <w:tcPr>
            <w:tcW w:w="992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5239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Переводы в долларах США с гарантией получения полной суммы платежа бенефициаром за дополнительную комиссию к комиссии по переводу п.4.1.1.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10 USD*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5239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Перевод иностранной валюты в пользу клиентов Банка на счета, открытые в любом структурном подразделении ПАО «САРОВБИЗНЕСБАНК» в соответствии с валютным Законодательством РФ</w:t>
            </w:r>
          </w:p>
        </w:tc>
        <w:tc>
          <w:tcPr>
            <w:tcW w:w="3974" w:type="dxa"/>
            <w:gridSpan w:val="3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92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5239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Возврат средств, находящихся на счете невыясненных поступлений и подлежащих возврату (комиссия взимается из суммы возвращаемых средств в день их возврата перевододателю)*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10 USD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5239" w:type="dxa"/>
          </w:tcPr>
          <w:p w:rsidR="00BE3E59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Дополнение, изменение, отмена или проведение расследований по ранее отправленным переводам, а также переписка и проведение расследований по поступившим суммам*</w:t>
            </w:r>
          </w:p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при этом  клиент дополнительно вносит гарантийный взнос в размере 100 USD на 20 рабочих дней для покрытия возможных комиссий третьих банков - корреспондентов</w:t>
            </w:r>
          </w:p>
        </w:tc>
        <w:tc>
          <w:tcPr>
            <w:tcW w:w="3974" w:type="dxa"/>
            <w:gridSpan w:val="3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35 USD за каждую операцию </w:t>
            </w:r>
          </w:p>
        </w:tc>
        <w:tc>
          <w:tcPr>
            <w:tcW w:w="992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shd w:val="clear" w:color="auto" w:fill="D9D9D9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5239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Расследование по поступившим суммам, проводимое банком-корреспондентом либо третьими банками по их собственной инициативе</w:t>
            </w:r>
          </w:p>
        </w:tc>
        <w:tc>
          <w:tcPr>
            <w:tcW w:w="3974" w:type="dxa"/>
            <w:gridSpan w:val="3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комиссия банка-корреспондента или третьих банков дополнительно уплачивается банку клиентом, путем списания банком со счета клиента, в пользу которого по результатам такого расследования зачисляется сумма</w:t>
            </w:r>
          </w:p>
        </w:tc>
        <w:tc>
          <w:tcPr>
            <w:tcW w:w="992" w:type="dxa"/>
            <w:shd w:val="clear" w:color="auto" w:fill="D9D9D9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340"/>
        </w:trPr>
        <w:tc>
          <w:tcPr>
            <w:tcW w:w="568" w:type="dxa"/>
            <w:noWrap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5239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Запросы, поступающие из банка-корреспондента или из третьих банков, связанные с процедурами комплаенса</w:t>
            </w:r>
          </w:p>
        </w:tc>
        <w:tc>
          <w:tcPr>
            <w:tcW w:w="3974" w:type="dxa"/>
            <w:gridSpan w:val="3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10 USD*</w:t>
            </w:r>
          </w:p>
        </w:tc>
        <w:tc>
          <w:tcPr>
            <w:tcW w:w="992" w:type="dxa"/>
          </w:tcPr>
          <w:p w:rsidR="00BE3E59" w:rsidRPr="002D1B9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10773" w:type="dxa"/>
            <w:gridSpan w:val="6"/>
            <w:shd w:val="clear" w:color="auto" w:fill="FFFFFF"/>
            <w:noWrap/>
          </w:tcPr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E3E59" w:rsidRPr="005169CF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Раздел </w:t>
            </w:r>
            <w:r w:rsidRPr="005169CF">
              <w:rPr>
                <w:rFonts w:ascii="Tahoma" w:hAnsi="Tahoma" w:cs="Tahoma"/>
                <w:sz w:val="24"/>
                <w:szCs w:val="24"/>
                <w:lang w:eastAsia="ru-RU"/>
              </w:rPr>
              <w:t>5. Операции с наличной иностранной валютой</w:t>
            </w:r>
          </w:p>
        </w:tc>
      </w:tr>
    </w:tbl>
    <w:tbl>
      <w:tblPr>
        <w:tblW w:w="10773" w:type="dxa"/>
        <w:tblInd w:w="-106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1386"/>
        <w:gridCol w:w="1504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3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215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"/>
        <w:gridCol w:w="521"/>
        <w:gridCol w:w="5283"/>
        <w:gridCol w:w="3972"/>
        <w:gridCol w:w="992"/>
      </w:tblGrid>
      <w:tr w:rsidR="00BE3E59" w:rsidRPr="00ED7E39">
        <w:trPr>
          <w:trHeight w:val="20"/>
        </w:trPr>
        <w:tc>
          <w:tcPr>
            <w:tcW w:w="521" w:type="dxa"/>
            <w:gridSpan w:val="2"/>
            <w:shd w:val="clear" w:color="auto" w:fill="D9D9D9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5286" w:type="dxa"/>
            <w:shd w:val="clear" w:color="auto" w:fill="D9D9D9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Покупка и продажа наличной иностранной валюты за наличную валюту Российской Федерации</w:t>
            </w:r>
          </w:p>
        </w:tc>
        <w:tc>
          <w:tcPr>
            <w:tcW w:w="3974" w:type="dxa"/>
            <w:shd w:val="clear" w:color="auto" w:fill="D9D9D9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по курсу банка, действующему на дату совершения операции. Комиссия за совершение операции не взимается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gridSpan w:val="2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6" w:type="dxa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Замена поврежденных банкнот иностранных государств (группы иностранных государств) не имеющих признаков подделки на неповрежденные банкноты соответствующего иностранного государства (группы иностранных государств)</w:t>
            </w:r>
          </w:p>
        </w:tc>
        <w:tc>
          <w:tcPr>
            <w:tcW w:w="3974" w:type="dxa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5% от суммы.</w:t>
            </w: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Комиссия взимается в рублях по курсу ЦБ РФ на дату совершения операции</w:t>
            </w:r>
          </w:p>
        </w:tc>
        <w:tc>
          <w:tcPr>
            <w:tcW w:w="992" w:type="dxa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gridSpan w:val="2"/>
            <w:shd w:val="clear" w:color="auto" w:fill="D9D9D9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86" w:type="dxa"/>
            <w:shd w:val="clear" w:color="auto" w:fill="D9D9D9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Размен денежного знака (денежных знаков) иностранного государства (группы иностранных государств) на денежные знаки (денежный знак) того же иностранного государства (группы иностранных государств)</w:t>
            </w:r>
          </w:p>
        </w:tc>
        <w:tc>
          <w:tcPr>
            <w:tcW w:w="3974" w:type="dxa"/>
            <w:shd w:val="clear" w:color="auto" w:fill="D9D9D9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5% от суммы.</w:t>
            </w: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Комиссия взимается в рублях по курсу ЦБ РФ на дату совершения операции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gridSpan w:val="2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6" w:type="dxa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Проверка на подлинность, пересчет, упаковка наличной иностранной валюты</w:t>
            </w:r>
          </w:p>
        </w:tc>
        <w:tc>
          <w:tcPr>
            <w:tcW w:w="3974" w:type="dxa"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0,5 % от суммы.</w:t>
            </w: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Комиссия взимается в рублях по курсу ЦБ РФ на дату совершения операции</w:t>
            </w:r>
          </w:p>
        </w:tc>
        <w:tc>
          <w:tcPr>
            <w:tcW w:w="992" w:type="dxa"/>
            <w:noWrap/>
          </w:tcPr>
          <w:p w:rsidR="00BE3E59" w:rsidRPr="00B47C51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47C5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gridBefore w:val="1"/>
          <w:trHeight w:val="20"/>
        </w:trPr>
        <w:tc>
          <w:tcPr>
            <w:tcW w:w="10773" w:type="dxa"/>
            <w:gridSpan w:val="4"/>
            <w:noWrap/>
          </w:tcPr>
          <w:p w:rsidR="00BE3E59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E3E59" w:rsidRPr="00F60C83" w:rsidRDefault="00BE3E59" w:rsidP="006F307B">
            <w:pPr>
              <w:spacing w:before="120" w:after="12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Раздел </w:t>
            </w:r>
            <w:r w:rsidRPr="00727B72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ahoma" w:hAnsi="Tahoma" w:cs="Tahoma"/>
                <w:sz w:val="24"/>
                <w:szCs w:val="24"/>
                <w:lang w:eastAsia="ru-RU"/>
              </w:rPr>
              <w:t>Безналичные операции с иностранной валютой</w:t>
            </w:r>
          </w:p>
        </w:tc>
      </w:tr>
    </w:tbl>
    <w:tbl>
      <w:tblPr>
        <w:tblW w:w="10773" w:type="dxa"/>
        <w:tblInd w:w="2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1386"/>
        <w:gridCol w:w="1504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3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ED7E39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53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ED7E39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21"/>
        <w:gridCol w:w="5286"/>
        <w:gridCol w:w="3974"/>
        <w:gridCol w:w="992"/>
      </w:tblGrid>
      <w:tr w:rsidR="00BE3E59" w:rsidRPr="00ED7E39">
        <w:trPr>
          <w:trHeight w:val="20"/>
        </w:trPr>
        <w:tc>
          <w:tcPr>
            <w:tcW w:w="521" w:type="dxa"/>
            <w:shd w:val="clear" w:color="auto" w:fill="D9D9D9"/>
            <w:noWrap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5286" w:type="dxa"/>
            <w:shd w:val="clear" w:color="auto" w:fill="D9D9D9"/>
          </w:tcPr>
          <w:p w:rsidR="00BE3E59" w:rsidRDefault="00BE3E59" w:rsidP="00977E04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Конверсия иностранных валют с использованием счета</w:t>
            </w:r>
          </w:p>
          <w:p w:rsidR="00BE3E59" w:rsidRPr="00F60C83" w:rsidRDefault="00BE3E59" w:rsidP="00977E04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поручения на покупку/продажу иностранной валюты исполняются текущим днем при условии поступления в банк до 14:00 по долларам США, до 12:00 по евро</w:t>
            </w:r>
            <w:r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, английским фунтам стерлингов </w:t>
            </w: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 и до 10:30 в китайских юанях и при условии перечисления банку обеспечения</w:t>
            </w:r>
          </w:p>
        </w:tc>
        <w:tc>
          <w:tcPr>
            <w:tcW w:w="3974" w:type="dxa"/>
            <w:shd w:val="clear" w:color="auto" w:fill="D9D9D9"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по кросс-курсу банка, действующему</w:t>
            </w: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на дату совершения операции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noWrap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5286" w:type="dxa"/>
          </w:tcPr>
          <w:p w:rsidR="00BE3E59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Покупка/продажа валюты за российские рубли по заявлению клиента</w:t>
            </w:r>
          </w:p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>поручения на покупку/продажу иностранной валюты исполняются текущим днем при условии поступления в банк до 14:00 по долларам США, до 12:00 по евро</w:t>
            </w:r>
            <w:r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, английским фунтам стерлингов </w:t>
            </w:r>
            <w:r w:rsidRPr="002D1B91">
              <w:rPr>
                <w:rFonts w:ascii="Tahoma" w:hAnsi="Tahoma" w:cs="Tahoma"/>
                <w:i/>
                <w:iCs/>
                <w:sz w:val="18"/>
                <w:szCs w:val="18"/>
                <w:lang w:eastAsia="ru-RU"/>
              </w:rPr>
              <w:t xml:space="preserve"> и до 10:30 в китайских юанях и при условии перечисления банку обеспечения</w:t>
            </w:r>
          </w:p>
        </w:tc>
        <w:tc>
          <w:tcPr>
            <w:tcW w:w="3974" w:type="dxa"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t>по кросс-курсу банка, действующему</w:t>
            </w:r>
            <w:r w:rsidRPr="002D1B91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на дату совершения операции</w:t>
            </w:r>
          </w:p>
        </w:tc>
        <w:tc>
          <w:tcPr>
            <w:tcW w:w="992" w:type="dxa"/>
            <w:noWrap/>
          </w:tcPr>
          <w:p w:rsidR="00BE3E59" w:rsidRPr="00F60C83" w:rsidRDefault="00BE3E59" w:rsidP="006F307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10773" w:type="dxa"/>
            <w:gridSpan w:val="4"/>
            <w:noWrap/>
          </w:tcPr>
          <w:p w:rsidR="00BE3E59" w:rsidRDefault="00BE3E59" w:rsidP="0022105B">
            <w:pPr>
              <w:spacing w:before="120" w:after="12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E3E59" w:rsidRPr="00F60C83" w:rsidRDefault="00BE3E59" w:rsidP="0022105B">
            <w:pPr>
              <w:spacing w:before="120" w:after="12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24"/>
                <w:szCs w:val="24"/>
                <w:lang w:eastAsia="ru-RU"/>
              </w:rPr>
              <w:t>Раздел 7</w:t>
            </w:r>
            <w:r w:rsidRPr="00727B72">
              <w:rPr>
                <w:rFonts w:ascii="Tahoma" w:hAnsi="Tahoma" w:cs="Tahoma"/>
                <w:sz w:val="24"/>
                <w:szCs w:val="24"/>
                <w:lang w:eastAsia="ru-RU"/>
              </w:rPr>
              <w:t>. Прочие услуги</w:t>
            </w:r>
          </w:p>
        </w:tc>
      </w:tr>
    </w:tbl>
    <w:tbl>
      <w:tblPr>
        <w:tblW w:w="10773" w:type="dxa"/>
        <w:tblInd w:w="2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616"/>
        <w:gridCol w:w="5158"/>
        <w:gridCol w:w="1386"/>
        <w:gridCol w:w="1504"/>
        <w:gridCol w:w="1112"/>
        <w:gridCol w:w="997"/>
      </w:tblGrid>
      <w:tr w:rsidR="00BE3E59" w:rsidRPr="00ED7E39">
        <w:trPr>
          <w:trHeight w:val="172"/>
        </w:trPr>
        <w:tc>
          <w:tcPr>
            <w:tcW w:w="616" w:type="dxa"/>
            <w:vMerge w:val="restart"/>
            <w:shd w:val="clear" w:color="auto" w:fill="808080"/>
            <w:noWrap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58" w:type="dxa"/>
            <w:vMerge w:val="restart"/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002" w:type="dxa"/>
            <w:gridSpan w:val="3"/>
            <w:shd w:val="clear" w:color="auto" w:fill="808080"/>
          </w:tcPr>
          <w:p w:rsidR="00BE3E59" w:rsidRPr="00ED7E39" w:rsidRDefault="00BE3E59" w:rsidP="0022105B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97" w:type="dxa"/>
            <w:vMerge w:val="restart"/>
            <w:shd w:val="clear" w:color="auto" w:fill="808080"/>
          </w:tcPr>
          <w:p w:rsidR="00BE3E59" w:rsidRPr="00ED7E39" w:rsidRDefault="00BE3E59" w:rsidP="0022105B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BE3E59" w:rsidRPr="00ED7E39">
        <w:trPr>
          <w:trHeight w:val="53"/>
        </w:trPr>
        <w:tc>
          <w:tcPr>
            <w:tcW w:w="616" w:type="dxa"/>
            <w:vMerge/>
            <w:shd w:val="clear" w:color="auto" w:fill="808080"/>
            <w:noWrap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58" w:type="dxa"/>
            <w:vMerge/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1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ED7E39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97" w:type="dxa"/>
            <w:vMerge/>
            <w:tcBorders>
              <w:left w:val="nil"/>
            </w:tcBorders>
            <w:shd w:val="clear" w:color="auto" w:fill="808080"/>
          </w:tcPr>
          <w:p w:rsidR="00BE3E59" w:rsidRPr="00ED7E39" w:rsidRDefault="00BE3E59" w:rsidP="0022105B">
            <w:pPr>
              <w:spacing w:before="120" w:after="0" w:line="240" w:lineRule="auto"/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1077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21"/>
        <w:gridCol w:w="5286"/>
        <w:gridCol w:w="3974"/>
        <w:gridCol w:w="992"/>
      </w:tblGrid>
      <w:tr w:rsidR="00BE3E59" w:rsidRPr="00ED7E39">
        <w:trPr>
          <w:trHeight w:val="20"/>
        </w:trPr>
        <w:tc>
          <w:tcPr>
            <w:tcW w:w="521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5286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Уточнение плательщиком реквизитов перевода в рублях, совершенного Банком по поручению плательщика со счета по вкладу физического лица, и/или перевода денежных средств, совершенного Банком по поручению плательщика без открытия банковского счета, в случае не указания/не верного указания плательщиком реквизитов, необходимых для зачисления перевода на счет получателя, за исключением переводов за оказание услуг, которые являются необходимыми и обязательными для предоставления плательщику государственных и муниципальных услуг, переводов за оказание плательщику государственных и муниципальных услуг, переводов в бюджетную систему РФ, а также иных платежей, в случаях, предусмотренных действующим законодательством РФ. </w:t>
            </w:r>
          </w:p>
        </w:tc>
        <w:tc>
          <w:tcPr>
            <w:tcW w:w="3974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5286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Уточнение плательщиком информации, передаваемой Банком в государственную информационную систему о государственных и муниципальных платежах, по переводам за оказание услуг, которые являются необходимыми и обязательными для предоставления плательщику государственных и муниципальных услуг, переводов за оказание плательщику государственных и муниципальных услуг, переводов в бюджетную систему РФ, а также иных платежей, в случаях, предусмотренных действующим законодательством РФ, совершенным Банком по поручению плательщика со счета по вкладу физического лица, и/или перевода денежных средств, совершенного Банком по поручению плательщика без открытия банковского счета.</w:t>
            </w:r>
          </w:p>
        </w:tc>
        <w:tc>
          <w:tcPr>
            <w:tcW w:w="3974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100 рублей</w:t>
            </w:r>
          </w:p>
        </w:tc>
        <w:tc>
          <w:tcPr>
            <w:tcW w:w="992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5286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Размен наличных денег (банкноты, монета Банка России)</w:t>
            </w:r>
          </w:p>
        </w:tc>
        <w:tc>
          <w:tcPr>
            <w:tcW w:w="3974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5286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Проверка на подлинность, пересчет, упаковка наличных денег (банкноты, монета Банка России)</w:t>
            </w:r>
          </w:p>
        </w:tc>
        <w:tc>
          <w:tcPr>
            <w:tcW w:w="3974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0,5% от проверяемой суммы</w:t>
            </w:r>
          </w:p>
        </w:tc>
        <w:tc>
          <w:tcPr>
            <w:tcW w:w="992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5286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Отправление выписок и документов клиентам почтой с уведомлением</w:t>
            </w:r>
          </w:p>
        </w:tc>
        <w:tc>
          <w:tcPr>
            <w:tcW w:w="3974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200 рублей за одно отправление, включая НДС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5286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Изготовление копий платежно-расчетных документов</w:t>
            </w:r>
          </w:p>
        </w:tc>
        <w:tc>
          <w:tcPr>
            <w:tcW w:w="3974" w:type="dxa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 страница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—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30 рублей, включая НДС</w:t>
            </w:r>
          </w:p>
        </w:tc>
        <w:tc>
          <w:tcPr>
            <w:tcW w:w="992" w:type="dxa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BE3E59" w:rsidRPr="00ED7E39">
        <w:trPr>
          <w:trHeight w:val="20"/>
        </w:trPr>
        <w:tc>
          <w:tcPr>
            <w:tcW w:w="521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.7</w:t>
            </w:r>
          </w:p>
        </w:tc>
        <w:tc>
          <w:tcPr>
            <w:tcW w:w="5286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Изготовление справок/подтверждений по запросам клиентов физических лиц (в том числе справки о наличии/отсутствии счетов в рублях и иностранной валюте)</w:t>
            </w:r>
          </w:p>
        </w:tc>
        <w:tc>
          <w:tcPr>
            <w:tcW w:w="3974" w:type="dxa"/>
            <w:shd w:val="clear" w:color="auto" w:fill="D9D9D9"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 страница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—</w:t>
            </w: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30 рублей, включая НДС</w:t>
            </w:r>
          </w:p>
        </w:tc>
        <w:tc>
          <w:tcPr>
            <w:tcW w:w="992" w:type="dxa"/>
            <w:shd w:val="clear" w:color="auto" w:fill="D9D9D9"/>
            <w:noWrap/>
          </w:tcPr>
          <w:p w:rsidR="00BE3E59" w:rsidRPr="00F60C83" w:rsidRDefault="00BE3E59" w:rsidP="0022105B">
            <w:pPr>
              <w:spacing w:before="120"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60C83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</w:tbl>
    <w:p w:rsidR="00BE3E59" w:rsidRDefault="00BE3E59" w:rsidP="00973A70">
      <w:pPr>
        <w:spacing w:after="240"/>
        <w:ind w:left="113" w:hanging="113"/>
        <w:rPr>
          <w:rFonts w:ascii="Tahoma" w:hAnsi="Tahoma" w:cs="Tahoma"/>
          <w:sz w:val="18"/>
          <w:szCs w:val="18"/>
          <w:vertAlign w:val="superscript"/>
        </w:rPr>
      </w:pPr>
    </w:p>
    <w:p w:rsidR="00BE3E59" w:rsidRDefault="00BE3E59" w:rsidP="00973A70">
      <w:pPr>
        <w:spacing w:after="240"/>
        <w:ind w:left="113" w:hanging="113"/>
        <w:rPr>
          <w:rFonts w:ascii="Tahoma" w:hAnsi="Tahoma" w:cs="Tahoma"/>
          <w:sz w:val="18"/>
          <w:szCs w:val="18"/>
        </w:rPr>
      </w:pPr>
      <w:r w:rsidRPr="00973A70">
        <w:rPr>
          <w:rFonts w:ascii="Tahoma" w:hAnsi="Tahoma" w:cs="Tahoma"/>
          <w:sz w:val="18"/>
          <w:szCs w:val="18"/>
          <w:vertAlign w:val="superscript"/>
        </w:rPr>
        <w:t xml:space="preserve">1 </w:t>
      </w:r>
      <w:r w:rsidRPr="00973A70">
        <w:rPr>
          <w:rFonts w:ascii="Tahoma" w:hAnsi="Tahoma" w:cs="Tahoma"/>
          <w:sz w:val="18"/>
          <w:szCs w:val="18"/>
        </w:rPr>
        <w:t>Комиссионное вознаграждение взимается ежеквартально не позднее после</w:t>
      </w:r>
      <w:r>
        <w:rPr>
          <w:rFonts w:ascii="Tahoma" w:hAnsi="Tahoma" w:cs="Tahoma"/>
          <w:sz w:val="18"/>
          <w:szCs w:val="18"/>
        </w:rPr>
        <w:t xml:space="preserve">днего рабочего дня квартала. </w:t>
      </w:r>
      <w:r w:rsidRPr="00973A70">
        <w:rPr>
          <w:rFonts w:ascii="Tahoma" w:hAnsi="Tahoma" w:cs="Tahoma"/>
          <w:sz w:val="18"/>
          <w:szCs w:val="18"/>
        </w:rPr>
        <w:t>Если остаток денежных средств на счете по вкладу физического лица</w:t>
      </w:r>
      <w:r>
        <w:rPr>
          <w:rFonts w:ascii="Tahoma" w:hAnsi="Tahoma" w:cs="Tahoma"/>
          <w:sz w:val="18"/>
          <w:szCs w:val="18"/>
        </w:rPr>
        <w:t>/на текущем счете</w:t>
      </w:r>
      <w:r w:rsidRPr="00973A70">
        <w:rPr>
          <w:rFonts w:ascii="Tahoma" w:hAnsi="Tahoma" w:cs="Tahoma"/>
          <w:sz w:val="18"/>
          <w:szCs w:val="18"/>
        </w:rPr>
        <w:t xml:space="preserve"> меньше размера установленного комиссионного вознаграждения, то комиссионное вознаграждение устанавливается в размере остатка на счете</w:t>
      </w:r>
      <w:r>
        <w:rPr>
          <w:rFonts w:ascii="Tahoma" w:hAnsi="Tahoma" w:cs="Tahoma"/>
          <w:sz w:val="18"/>
          <w:szCs w:val="18"/>
        </w:rPr>
        <w:t xml:space="preserve"> по вкладу физического лица/ на текущем счете.</w:t>
      </w:r>
    </w:p>
    <w:p w:rsidR="00BE3E59" w:rsidRPr="00315F0E" w:rsidRDefault="00BE3E59" w:rsidP="00973A70">
      <w:pPr>
        <w:spacing w:after="240"/>
        <w:ind w:left="113" w:hanging="113"/>
        <w:rPr>
          <w:rFonts w:ascii="Tahoma" w:hAnsi="Tahoma" w:cs="Tahoma"/>
          <w:color w:val="008000"/>
          <w:sz w:val="18"/>
          <w:szCs w:val="18"/>
        </w:rPr>
      </w:pPr>
      <w:r w:rsidRPr="00973A70">
        <w:rPr>
          <w:rFonts w:ascii="Tahoma" w:hAnsi="Tahoma" w:cs="Tahoma"/>
          <w:sz w:val="18"/>
          <w:szCs w:val="18"/>
          <w:vertAlign w:val="superscript"/>
        </w:rPr>
        <w:t xml:space="preserve">2 </w:t>
      </w:r>
      <w:r w:rsidRPr="00973A70">
        <w:rPr>
          <w:rFonts w:ascii="Tahoma" w:hAnsi="Tahoma" w:cs="Tahoma"/>
          <w:sz w:val="18"/>
          <w:szCs w:val="18"/>
        </w:rPr>
        <w:t xml:space="preserve">Комиссионное вознаграждение взимается ежеквартально не позднее последнего рабочего дня квартала при отсутствии клиентских операций по счету 2 года и более с момента последней операции по счету (за исключением операций по выплате процентов и по списанию комиссий) при отсутствии ареста по счету. Если остаток денежных средств на счете меньше размера установленного комиссионного вознаграждения, то комиссионное вознаграждение устанавливается в размере остатка на счете. </w:t>
      </w:r>
      <w:r w:rsidRPr="009D28DF">
        <w:rPr>
          <w:rFonts w:ascii="Tahoma" w:hAnsi="Tahoma" w:cs="Tahoma"/>
          <w:sz w:val="18"/>
          <w:szCs w:val="18"/>
        </w:rPr>
        <w:t>Комиссионное вознаграждение не взимается по счетам в течение срока действия срочного вклада в ПАО «САРОВБИЗНЕСБАНК». Комиссионное</w:t>
      </w:r>
      <w:r w:rsidRPr="00315F0E">
        <w:rPr>
          <w:rFonts w:ascii="Tahoma" w:hAnsi="Tahoma" w:cs="Tahoma"/>
          <w:color w:val="008000"/>
          <w:sz w:val="18"/>
          <w:szCs w:val="18"/>
        </w:rPr>
        <w:t xml:space="preserve"> </w:t>
      </w:r>
      <w:r w:rsidRPr="009D28DF">
        <w:rPr>
          <w:rFonts w:ascii="Tahoma" w:hAnsi="Tahoma" w:cs="Tahoma"/>
          <w:sz w:val="18"/>
          <w:szCs w:val="18"/>
        </w:rPr>
        <w:t>вознаграждение не взимается, если остаток на счете равен нулю.</w:t>
      </w:r>
      <w:r>
        <w:rPr>
          <w:rFonts w:ascii="Tahoma" w:hAnsi="Tahoma" w:cs="Tahoma"/>
          <w:sz w:val="18"/>
          <w:szCs w:val="18"/>
        </w:rPr>
        <w:t xml:space="preserve"> </w:t>
      </w:r>
      <w:r w:rsidRPr="009D28DF">
        <w:rPr>
          <w:rFonts w:ascii="Tahoma" w:hAnsi="Tahoma" w:cs="Tahoma"/>
          <w:sz w:val="18"/>
          <w:szCs w:val="18"/>
        </w:rPr>
        <w:t>Комиссионное</w:t>
      </w:r>
      <w:r w:rsidRPr="00315F0E">
        <w:rPr>
          <w:rFonts w:ascii="Tahoma" w:hAnsi="Tahoma" w:cs="Tahoma"/>
          <w:color w:val="008000"/>
          <w:sz w:val="18"/>
          <w:szCs w:val="18"/>
        </w:rPr>
        <w:t xml:space="preserve"> </w:t>
      </w:r>
      <w:r w:rsidRPr="009D28DF">
        <w:rPr>
          <w:rFonts w:ascii="Tahoma" w:hAnsi="Tahoma" w:cs="Tahoma"/>
          <w:sz w:val="18"/>
          <w:szCs w:val="18"/>
        </w:rPr>
        <w:t>вознаграждение не взимается,</w:t>
      </w:r>
      <w:r>
        <w:rPr>
          <w:rFonts w:ascii="Tahoma" w:hAnsi="Tahoma" w:cs="Tahoma"/>
          <w:sz w:val="18"/>
          <w:szCs w:val="18"/>
        </w:rPr>
        <w:t xml:space="preserve"> если остаток на счете равен или более </w:t>
      </w:r>
      <w:r w:rsidRPr="009D28DF">
        <w:rPr>
          <w:rFonts w:ascii="Tahoma" w:hAnsi="Tahoma" w:cs="Tahoma"/>
          <w:sz w:val="18"/>
          <w:szCs w:val="18"/>
        </w:rPr>
        <w:t>15 USD/15 EUR/10 GBP/100 CNY (в зависимости от валюты счета).</w:t>
      </w:r>
    </w:p>
    <w:p w:rsidR="00BE3E59" w:rsidRDefault="00BE3E59" w:rsidP="00A56EB2">
      <w:pPr>
        <w:spacing w:after="240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Pr="00E8266F">
        <w:rPr>
          <w:rFonts w:ascii="Tahoma" w:hAnsi="Tahoma" w:cs="Tahoma"/>
          <w:sz w:val="20"/>
          <w:szCs w:val="20"/>
          <w:vertAlign w:val="superscript"/>
          <w:lang w:eastAsia="ru-RU"/>
        </w:rPr>
        <w:t>3</w:t>
      </w:r>
      <w:r>
        <w:rPr>
          <w:rFonts w:ascii="Tahoma" w:hAnsi="Tahoma" w:cs="Tahoma"/>
          <w:sz w:val="20"/>
          <w:szCs w:val="20"/>
          <w:vertAlign w:val="superscript"/>
          <w:lang w:eastAsia="ru-RU"/>
        </w:rPr>
        <w:t xml:space="preserve"> </w:t>
      </w:r>
      <w:r w:rsidRPr="00157EF0">
        <w:rPr>
          <w:rFonts w:ascii="Tahoma" w:hAnsi="Tahoma" w:cs="Tahoma"/>
          <w:sz w:val="18"/>
          <w:szCs w:val="18"/>
          <w:lang w:eastAsia="ru-RU"/>
        </w:rPr>
        <w:t>Устройств</w:t>
      </w:r>
      <w:r>
        <w:rPr>
          <w:rFonts w:ascii="Tahoma" w:hAnsi="Tahoma" w:cs="Tahoma"/>
          <w:sz w:val="18"/>
          <w:szCs w:val="18"/>
          <w:lang w:eastAsia="ru-RU"/>
        </w:rPr>
        <w:t>о</w:t>
      </w:r>
      <w:r w:rsidRPr="00157EF0">
        <w:rPr>
          <w:rFonts w:ascii="Tahoma" w:hAnsi="Tahoma" w:cs="Tahoma"/>
          <w:sz w:val="18"/>
          <w:szCs w:val="18"/>
          <w:lang w:eastAsia="ru-RU"/>
        </w:rPr>
        <w:t xml:space="preserve"> самообслуживания</w:t>
      </w:r>
      <w:r>
        <w:rPr>
          <w:rFonts w:ascii="Tahoma" w:hAnsi="Tahoma" w:cs="Tahoma"/>
          <w:sz w:val="18"/>
          <w:szCs w:val="18"/>
          <w:lang w:eastAsia="ru-RU"/>
        </w:rPr>
        <w:t>.</w:t>
      </w:r>
    </w:p>
    <w:p w:rsidR="00BE3E59" w:rsidRDefault="00BE3E59" w:rsidP="009D1E4A">
      <w:pPr>
        <w:spacing w:after="240"/>
        <w:ind w:left="113" w:hanging="11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vertAlign w:val="superscript"/>
        </w:rPr>
        <w:t>4</w:t>
      </w:r>
      <w:r w:rsidRPr="00973A70">
        <w:rPr>
          <w:rFonts w:ascii="Tahoma" w:hAnsi="Tahoma" w:cs="Tahoma"/>
          <w:sz w:val="18"/>
          <w:szCs w:val="18"/>
          <w:vertAlign w:val="superscript"/>
        </w:rPr>
        <w:t xml:space="preserve"> </w:t>
      </w:r>
      <w:r w:rsidRPr="00973A70">
        <w:rPr>
          <w:rFonts w:ascii="Tahoma" w:hAnsi="Tahoma" w:cs="Tahoma"/>
          <w:sz w:val="18"/>
          <w:szCs w:val="18"/>
        </w:rPr>
        <w:t>Дополнительно удерживается комиссия банка-корреспондента за исполнение платежных поручений, когда не совпадает резидентность отправителя и банка отправителя или получателя и банка получателя или если получатель зарегистрирован в оффшорной зоне.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Комиссионное вознаграждение взимается с плательщика в момент совершения банковской операции (за исключением комиссионного вознаграждения, указанного в п.1.5.1 и п.1.6.1 настоящих Тарифов).</w:t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Если платежное поручение не содержит указания, кто несет расходы по переводу, оно выполняется за счет отправителя (при исполнении платежного поручения за счет бенефициара сумма комиссии Банка удерживается из суммы платежа).</w:t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Гарантийный взнос (предусмотренный в п.п. 4.1.2., 4.1.5., 4.6. настоящих Тарифах) вносится Клиентом в Банк для покрытия возможных комиссий третьих банков корреспондентов, выставленных Банку. По истечении периода, указанного в соответствующем пункте Тарифов, данный гарантийный взнос возвращается Клиенту Банком.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Комиссия, выставленная Банку банком-корреспондентом либо третьими банками в связи с исполнением поручений или распоряжений клиента (по операциям, в данных Тарифах помеченные  « * »), дополнительно уплачивается Клиентом, в том числе из средств гарантийного взноса.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Банк не несет какой-либо ответственности за задержки и/или ошибки, которые могут возникнуть из-за нечетких / неправильных инструкций клиента.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Почтово-телеграфные, телексные расходы уплачиваются Клиентом Банку в случае, если в поручении не стоит пометка «расходы за счет бенефициара».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Уплаченная комиссия возврату не подлежит.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 xml:space="preserve">Вознаграждение за совершаемые операции уплачивается Клиентом Банку, путем списания Банком со счета Клиента на основании договора, заключенного с Клиентом. 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Вознаграждение уплачивается Клиентом в момент совершения операции.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 xml:space="preserve">Комиссионное вознаграждение по желанию клиента может уплачиваться как в иностранной валюте, так и в валюте Российской Федерации по курсу ЦБ РФ на дату совершения операции </w:t>
      </w:r>
      <w:r>
        <w:rPr>
          <w:rFonts w:ascii="Tahoma" w:hAnsi="Tahoma" w:cs="Tahoma"/>
          <w:sz w:val="18"/>
          <w:szCs w:val="18"/>
        </w:rPr>
        <w:t>(за исключением пунктов 5.2, 5.3, 5.4</w:t>
      </w:r>
      <w:r w:rsidRPr="00B067D2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.</w:t>
      </w:r>
      <w:r w:rsidRPr="00B067D2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Документы,</w:t>
      </w:r>
      <w:r>
        <w:rPr>
          <w:rFonts w:ascii="Tahoma" w:hAnsi="Tahoma" w:cs="Tahoma"/>
          <w:sz w:val="18"/>
          <w:szCs w:val="18"/>
        </w:rPr>
        <w:t xml:space="preserve"> </w:t>
      </w:r>
      <w:r w:rsidRPr="000E6666">
        <w:rPr>
          <w:rFonts w:ascii="Tahoma" w:hAnsi="Tahoma" w:cs="Tahoma"/>
          <w:sz w:val="18"/>
          <w:szCs w:val="18"/>
        </w:rPr>
        <w:t>являющиеся основанием для проведения валютной операции</w:t>
      </w:r>
      <w:r>
        <w:rPr>
          <w:rFonts w:ascii="Tahoma" w:hAnsi="Tahoma" w:cs="Tahoma"/>
          <w:sz w:val="18"/>
          <w:szCs w:val="18"/>
        </w:rPr>
        <w:t xml:space="preserve">, </w:t>
      </w:r>
      <w:r w:rsidRPr="000E6666">
        <w:rPr>
          <w:rFonts w:ascii="Tahoma" w:hAnsi="Tahoma" w:cs="Tahoma"/>
          <w:sz w:val="18"/>
          <w:szCs w:val="18"/>
        </w:rPr>
        <w:t>должны быть представлены на русском языке либо иметь надлежащим образом оформленный перевод на русский язык.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В случае выполнения Банком операций, принятых в банковской практике, но не предусмотренных настоящими тарифами, Клиент уплачивает Банку плату, указанную в отдельном соглашении между Банком и Клиентом.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Pr="000E6666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Банк вправе в одностороннем порядке изменять (дополнять) действующие Тарифы. Банк информирует Клиента об изменении (дополнении) действующих Тарифов, путем их размещения на информационных стендах (столах информации) в структурных подразделениях Банка, осуществляющих валютные операции, и на Интернет-сайте Банка www.sbbank.ru за 10 рабочих дней до их изменения. При этом Клиент принимает на себя обязательство самостоятельно знакомиться с Тарифами, действующими в Банке на момент совершения соответствующей операции.</w:t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Особый порядок расчетов устанавливается отдельным соглашен</w:t>
      </w:r>
      <w:r>
        <w:rPr>
          <w:rFonts w:ascii="Tahoma" w:hAnsi="Tahoma" w:cs="Tahoma"/>
          <w:sz w:val="18"/>
          <w:szCs w:val="18"/>
        </w:rPr>
        <w:t>ием между Банком и Клиентом.</w:t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Банк не оказывает услуги, не осуществляет расходные операции по счету в случае недостаточности средств на счете Клиента, необходимых для уплаты комиссий.</w:t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>В случае возникновения при выполнении поручений клиентов дополнительных расходов, они уплачиваются Клиентом по их фактической стоимости.</w:t>
      </w:r>
    </w:p>
    <w:p w:rsidR="00BE3E59" w:rsidRDefault="00BE3E59" w:rsidP="000E6666">
      <w:pPr>
        <w:pStyle w:val="ListParagraph"/>
        <w:numPr>
          <w:ilvl w:val="0"/>
          <w:numId w:val="5"/>
        </w:numPr>
        <w:spacing w:after="240"/>
        <w:ind w:left="284" w:hanging="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 соответствии с п.11 статьи 7</w:t>
      </w:r>
      <w:r w:rsidRPr="00973A70">
        <w:rPr>
          <w:rFonts w:ascii="Tahoma" w:hAnsi="Tahoma" w:cs="Tahoma"/>
          <w:sz w:val="18"/>
          <w:szCs w:val="18"/>
        </w:rPr>
        <w:t xml:space="preserve"> Федерального закона № 115-ФЗ «О противодействии легализации (отмыванию) доходов, полученных преступным путем, и финансированию терроризма» от 7 августа 2001 года Банк вправе отказать в выполнении распоряжения клиента о совершении операции, если возникают подозрения, что операция совершается в целях легализации (отмывания) доход</w:t>
      </w:r>
      <w:r>
        <w:rPr>
          <w:rFonts w:ascii="Tahoma" w:hAnsi="Tahoma" w:cs="Tahoma"/>
          <w:sz w:val="18"/>
          <w:szCs w:val="18"/>
        </w:rPr>
        <w:t>ов, полученных преступным путем</w:t>
      </w:r>
      <w:r w:rsidRPr="00973A70">
        <w:rPr>
          <w:rFonts w:ascii="Tahoma" w:hAnsi="Tahoma" w:cs="Tahoma"/>
          <w:sz w:val="18"/>
          <w:szCs w:val="18"/>
        </w:rPr>
        <w:t xml:space="preserve"> или</w:t>
      </w:r>
      <w:r>
        <w:rPr>
          <w:rFonts w:ascii="Tahoma" w:hAnsi="Tahoma" w:cs="Tahoma"/>
          <w:sz w:val="18"/>
          <w:szCs w:val="18"/>
        </w:rPr>
        <w:t xml:space="preserve"> финансирования терроризма. </w:t>
      </w:r>
    </w:p>
    <w:p w:rsidR="00BE3E59" w:rsidRDefault="00BE3E59" w:rsidP="00F556E4">
      <w:pPr>
        <w:pStyle w:val="ListParagraph"/>
        <w:spacing w:after="240"/>
        <w:rPr>
          <w:rFonts w:ascii="Tahoma" w:hAnsi="Tahoma" w:cs="Tahoma"/>
          <w:sz w:val="18"/>
          <w:szCs w:val="18"/>
        </w:rPr>
      </w:pPr>
    </w:p>
    <w:p w:rsidR="00BE3E59" w:rsidRDefault="00BE3E59" w:rsidP="00F556E4">
      <w:pPr>
        <w:pStyle w:val="ListParagraph"/>
        <w:spacing w:after="240"/>
        <w:rPr>
          <w:rFonts w:ascii="Tahoma" w:hAnsi="Tahoma" w:cs="Tahoma"/>
          <w:sz w:val="18"/>
          <w:szCs w:val="18"/>
        </w:rPr>
      </w:pPr>
    </w:p>
    <w:p w:rsidR="00BE3E59" w:rsidRPr="000E6666" w:rsidRDefault="00BE3E59" w:rsidP="00F556E4">
      <w:pPr>
        <w:pStyle w:val="ListParagraph"/>
        <w:spacing w:after="240"/>
        <w:rPr>
          <w:rFonts w:ascii="Tahoma" w:hAnsi="Tahoma" w:cs="Tahoma"/>
          <w:sz w:val="18"/>
          <w:szCs w:val="18"/>
        </w:rPr>
      </w:pP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18"/>
          <w:szCs w:val="18"/>
        </w:rPr>
        <w:tab/>
      </w:r>
      <w:r w:rsidRPr="000E6666">
        <w:rPr>
          <w:rFonts w:ascii="Tahoma" w:hAnsi="Tahoma" w:cs="Tahoma"/>
          <w:sz w:val="24"/>
          <w:szCs w:val="24"/>
        </w:rPr>
        <w:tab/>
      </w:r>
      <w:r w:rsidRPr="000E6666">
        <w:rPr>
          <w:rFonts w:ascii="Tahoma" w:hAnsi="Tahoma" w:cs="Tahoma"/>
          <w:sz w:val="24"/>
          <w:szCs w:val="24"/>
        </w:rPr>
        <w:tab/>
      </w:r>
      <w:r w:rsidRPr="000E6666">
        <w:rPr>
          <w:rFonts w:ascii="Tahoma" w:hAnsi="Tahoma" w:cs="Tahoma"/>
          <w:sz w:val="24"/>
          <w:szCs w:val="24"/>
        </w:rPr>
        <w:tab/>
      </w:r>
      <w:r w:rsidRPr="000E6666">
        <w:rPr>
          <w:rFonts w:ascii="Tahoma" w:hAnsi="Tahoma" w:cs="Tahoma"/>
          <w:sz w:val="24"/>
          <w:szCs w:val="24"/>
        </w:rPr>
        <w:tab/>
      </w:r>
    </w:p>
    <w:sectPr w:rsidR="00BE3E59" w:rsidRPr="000E6666" w:rsidSect="000B29FD">
      <w:footerReference w:type="default" r:id="rId8"/>
      <w:pgSz w:w="11906" w:h="16838"/>
      <w:pgMar w:top="567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E59" w:rsidRDefault="00BE3E59" w:rsidP="00B80F05">
      <w:pPr>
        <w:spacing w:after="0" w:line="240" w:lineRule="auto"/>
      </w:pPr>
      <w:r>
        <w:separator/>
      </w:r>
    </w:p>
  </w:endnote>
  <w:endnote w:type="continuationSeparator" w:id="1">
    <w:p w:rsidR="00BE3E59" w:rsidRDefault="00BE3E59" w:rsidP="00B8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E59" w:rsidRDefault="00BE3E59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BE3E59" w:rsidRDefault="00BE3E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E59" w:rsidRDefault="00BE3E59" w:rsidP="00B80F05">
      <w:pPr>
        <w:spacing w:after="0" w:line="240" w:lineRule="auto"/>
      </w:pPr>
      <w:r>
        <w:separator/>
      </w:r>
    </w:p>
  </w:footnote>
  <w:footnote w:type="continuationSeparator" w:id="1">
    <w:p w:rsidR="00BE3E59" w:rsidRDefault="00BE3E59" w:rsidP="00B80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B0"/>
    <w:multiLevelType w:val="hybridMultilevel"/>
    <w:tmpl w:val="14D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78F5"/>
    <w:multiLevelType w:val="hybridMultilevel"/>
    <w:tmpl w:val="4C863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606DFF"/>
    <w:multiLevelType w:val="hybridMultilevel"/>
    <w:tmpl w:val="29D072BE"/>
    <w:lvl w:ilvl="0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cs="Wingdings" w:hint="default"/>
      </w:rPr>
    </w:lvl>
  </w:abstractNum>
  <w:abstractNum w:abstractNumId="3">
    <w:nsid w:val="2C155560"/>
    <w:multiLevelType w:val="hybridMultilevel"/>
    <w:tmpl w:val="3552120C"/>
    <w:lvl w:ilvl="0" w:tplc="0419000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cs="Wingdings" w:hint="default"/>
      </w:rPr>
    </w:lvl>
  </w:abstractNum>
  <w:abstractNum w:abstractNumId="4">
    <w:nsid w:val="30933603"/>
    <w:multiLevelType w:val="hybridMultilevel"/>
    <w:tmpl w:val="8CFE90F8"/>
    <w:lvl w:ilvl="0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cs="Wingdings" w:hint="default"/>
      </w:rPr>
    </w:lvl>
  </w:abstractNum>
  <w:abstractNum w:abstractNumId="5">
    <w:nsid w:val="367261DF"/>
    <w:multiLevelType w:val="hybridMultilevel"/>
    <w:tmpl w:val="6A9C3D2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FF2C21"/>
    <w:multiLevelType w:val="hybridMultilevel"/>
    <w:tmpl w:val="3E00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83B05"/>
    <w:multiLevelType w:val="hybridMultilevel"/>
    <w:tmpl w:val="D1BA6F8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6DB5423"/>
    <w:multiLevelType w:val="hybridMultilevel"/>
    <w:tmpl w:val="2B1407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80715F4"/>
    <w:multiLevelType w:val="hybridMultilevel"/>
    <w:tmpl w:val="56DCBD82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09"/>
    <w:rsid w:val="000038D7"/>
    <w:rsid w:val="00003E37"/>
    <w:rsid w:val="000118A4"/>
    <w:rsid w:val="00011B0E"/>
    <w:rsid w:val="00014BDA"/>
    <w:rsid w:val="00016D98"/>
    <w:rsid w:val="0003791C"/>
    <w:rsid w:val="00066E13"/>
    <w:rsid w:val="0007336F"/>
    <w:rsid w:val="000761BA"/>
    <w:rsid w:val="0007706A"/>
    <w:rsid w:val="0007791F"/>
    <w:rsid w:val="00083513"/>
    <w:rsid w:val="000B29FD"/>
    <w:rsid w:val="000B3CF9"/>
    <w:rsid w:val="000B535F"/>
    <w:rsid w:val="000D0244"/>
    <w:rsid w:val="000E5C15"/>
    <w:rsid w:val="000E6666"/>
    <w:rsid w:val="000F1794"/>
    <w:rsid w:val="001058D2"/>
    <w:rsid w:val="0012124C"/>
    <w:rsid w:val="00123A36"/>
    <w:rsid w:val="0012570B"/>
    <w:rsid w:val="0015295C"/>
    <w:rsid w:val="00156DAC"/>
    <w:rsid w:val="00157EF0"/>
    <w:rsid w:val="00164453"/>
    <w:rsid w:val="00175291"/>
    <w:rsid w:val="001A3396"/>
    <w:rsid w:val="001A54A6"/>
    <w:rsid w:val="001C0F17"/>
    <w:rsid w:val="001C44BE"/>
    <w:rsid w:val="001D40DB"/>
    <w:rsid w:val="001E4778"/>
    <w:rsid w:val="002017CD"/>
    <w:rsid w:val="00210E2D"/>
    <w:rsid w:val="00213820"/>
    <w:rsid w:val="0022105B"/>
    <w:rsid w:val="002338D3"/>
    <w:rsid w:val="00233FD2"/>
    <w:rsid w:val="00235C1D"/>
    <w:rsid w:val="00236E58"/>
    <w:rsid w:val="00237086"/>
    <w:rsid w:val="00246242"/>
    <w:rsid w:val="00246694"/>
    <w:rsid w:val="00262E71"/>
    <w:rsid w:val="002740BF"/>
    <w:rsid w:val="0027467A"/>
    <w:rsid w:val="00275CCE"/>
    <w:rsid w:val="00277052"/>
    <w:rsid w:val="00284CE5"/>
    <w:rsid w:val="00291FC8"/>
    <w:rsid w:val="002B0942"/>
    <w:rsid w:val="002C029A"/>
    <w:rsid w:val="002D1B91"/>
    <w:rsid w:val="002E2DBB"/>
    <w:rsid w:val="003022BD"/>
    <w:rsid w:val="0030378C"/>
    <w:rsid w:val="00306A76"/>
    <w:rsid w:val="0030729D"/>
    <w:rsid w:val="00315E47"/>
    <w:rsid w:val="00315F0E"/>
    <w:rsid w:val="00345787"/>
    <w:rsid w:val="0036134F"/>
    <w:rsid w:val="00373D05"/>
    <w:rsid w:val="00380519"/>
    <w:rsid w:val="003A44C2"/>
    <w:rsid w:val="003A6154"/>
    <w:rsid w:val="003B0D7B"/>
    <w:rsid w:val="003C0368"/>
    <w:rsid w:val="003C463A"/>
    <w:rsid w:val="003D274C"/>
    <w:rsid w:val="003D5F81"/>
    <w:rsid w:val="00400F67"/>
    <w:rsid w:val="00411A9B"/>
    <w:rsid w:val="004271E2"/>
    <w:rsid w:val="00431D3D"/>
    <w:rsid w:val="0043434B"/>
    <w:rsid w:val="00463E15"/>
    <w:rsid w:val="00471091"/>
    <w:rsid w:val="00472B76"/>
    <w:rsid w:val="00480244"/>
    <w:rsid w:val="004906CB"/>
    <w:rsid w:val="004A1F28"/>
    <w:rsid w:val="004B7277"/>
    <w:rsid w:val="004D08F5"/>
    <w:rsid w:val="004D1837"/>
    <w:rsid w:val="004F50A9"/>
    <w:rsid w:val="004F6054"/>
    <w:rsid w:val="00500D04"/>
    <w:rsid w:val="005169CF"/>
    <w:rsid w:val="00541717"/>
    <w:rsid w:val="005638C8"/>
    <w:rsid w:val="005730B6"/>
    <w:rsid w:val="005769BF"/>
    <w:rsid w:val="00584ABB"/>
    <w:rsid w:val="005871D5"/>
    <w:rsid w:val="00594F6E"/>
    <w:rsid w:val="005B0F49"/>
    <w:rsid w:val="005B358E"/>
    <w:rsid w:val="005C351C"/>
    <w:rsid w:val="005C35D9"/>
    <w:rsid w:val="005C46F9"/>
    <w:rsid w:val="005E792C"/>
    <w:rsid w:val="005F3478"/>
    <w:rsid w:val="0060158D"/>
    <w:rsid w:val="0060199F"/>
    <w:rsid w:val="00613953"/>
    <w:rsid w:val="00624B89"/>
    <w:rsid w:val="006344DF"/>
    <w:rsid w:val="00642453"/>
    <w:rsid w:val="006517BC"/>
    <w:rsid w:val="006545DF"/>
    <w:rsid w:val="00655630"/>
    <w:rsid w:val="006562F8"/>
    <w:rsid w:val="00656E3F"/>
    <w:rsid w:val="0066456D"/>
    <w:rsid w:val="0068545C"/>
    <w:rsid w:val="006C51DB"/>
    <w:rsid w:val="006D388C"/>
    <w:rsid w:val="006F307B"/>
    <w:rsid w:val="006F508F"/>
    <w:rsid w:val="00707043"/>
    <w:rsid w:val="00715212"/>
    <w:rsid w:val="007215C2"/>
    <w:rsid w:val="007257C5"/>
    <w:rsid w:val="00726CEE"/>
    <w:rsid w:val="00727B72"/>
    <w:rsid w:val="00742EB4"/>
    <w:rsid w:val="00754812"/>
    <w:rsid w:val="007674A2"/>
    <w:rsid w:val="00770D3F"/>
    <w:rsid w:val="00784535"/>
    <w:rsid w:val="007A78AA"/>
    <w:rsid w:val="007B262B"/>
    <w:rsid w:val="007C0989"/>
    <w:rsid w:val="007C162A"/>
    <w:rsid w:val="007D4516"/>
    <w:rsid w:val="007E4AE2"/>
    <w:rsid w:val="00807F23"/>
    <w:rsid w:val="00814C64"/>
    <w:rsid w:val="008371AF"/>
    <w:rsid w:val="00843FAD"/>
    <w:rsid w:val="0085474C"/>
    <w:rsid w:val="00865DC9"/>
    <w:rsid w:val="00880981"/>
    <w:rsid w:val="008B0425"/>
    <w:rsid w:val="008E54BF"/>
    <w:rsid w:val="008F3A36"/>
    <w:rsid w:val="0090059A"/>
    <w:rsid w:val="00902361"/>
    <w:rsid w:val="00911F8C"/>
    <w:rsid w:val="00934E71"/>
    <w:rsid w:val="00940B6D"/>
    <w:rsid w:val="00947E8A"/>
    <w:rsid w:val="00954ABD"/>
    <w:rsid w:val="00957F8E"/>
    <w:rsid w:val="00964DCF"/>
    <w:rsid w:val="0097238E"/>
    <w:rsid w:val="00973A70"/>
    <w:rsid w:val="00977E04"/>
    <w:rsid w:val="009A7459"/>
    <w:rsid w:val="009A7925"/>
    <w:rsid w:val="009B28F3"/>
    <w:rsid w:val="009C5A47"/>
    <w:rsid w:val="009D1E4A"/>
    <w:rsid w:val="009D28DF"/>
    <w:rsid w:val="009E1F56"/>
    <w:rsid w:val="009E4063"/>
    <w:rsid w:val="009F716F"/>
    <w:rsid w:val="00A01AC6"/>
    <w:rsid w:val="00A20708"/>
    <w:rsid w:val="00A21D2F"/>
    <w:rsid w:val="00A25059"/>
    <w:rsid w:val="00A459A8"/>
    <w:rsid w:val="00A56EB2"/>
    <w:rsid w:val="00A80B50"/>
    <w:rsid w:val="00A81C45"/>
    <w:rsid w:val="00AA34F4"/>
    <w:rsid w:val="00AB2A7C"/>
    <w:rsid w:val="00AB2FA6"/>
    <w:rsid w:val="00AB6A54"/>
    <w:rsid w:val="00AD4C3B"/>
    <w:rsid w:val="00AD7587"/>
    <w:rsid w:val="00B025E9"/>
    <w:rsid w:val="00B05E74"/>
    <w:rsid w:val="00B067D2"/>
    <w:rsid w:val="00B16CCF"/>
    <w:rsid w:val="00B322B1"/>
    <w:rsid w:val="00B47C51"/>
    <w:rsid w:val="00B52208"/>
    <w:rsid w:val="00B64B34"/>
    <w:rsid w:val="00B677C2"/>
    <w:rsid w:val="00B6792B"/>
    <w:rsid w:val="00B72AD1"/>
    <w:rsid w:val="00B72C10"/>
    <w:rsid w:val="00B76636"/>
    <w:rsid w:val="00B80F05"/>
    <w:rsid w:val="00B83D45"/>
    <w:rsid w:val="00B846D3"/>
    <w:rsid w:val="00B8588A"/>
    <w:rsid w:val="00B87994"/>
    <w:rsid w:val="00B90422"/>
    <w:rsid w:val="00BA711F"/>
    <w:rsid w:val="00BB4173"/>
    <w:rsid w:val="00BC302A"/>
    <w:rsid w:val="00BC3897"/>
    <w:rsid w:val="00BE3E59"/>
    <w:rsid w:val="00BE4EFA"/>
    <w:rsid w:val="00C11E8A"/>
    <w:rsid w:val="00C2434B"/>
    <w:rsid w:val="00C31751"/>
    <w:rsid w:val="00C3471A"/>
    <w:rsid w:val="00C42808"/>
    <w:rsid w:val="00C47118"/>
    <w:rsid w:val="00C47B30"/>
    <w:rsid w:val="00C52FBD"/>
    <w:rsid w:val="00C55A53"/>
    <w:rsid w:val="00C572FC"/>
    <w:rsid w:val="00C60DBF"/>
    <w:rsid w:val="00C67A09"/>
    <w:rsid w:val="00C734EB"/>
    <w:rsid w:val="00C77027"/>
    <w:rsid w:val="00C95BAA"/>
    <w:rsid w:val="00CB02E3"/>
    <w:rsid w:val="00CB21C7"/>
    <w:rsid w:val="00CC76B3"/>
    <w:rsid w:val="00D17A00"/>
    <w:rsid w:val="00D26719"/>
    <w:rsid w:val="00D42E01"/>
    <w:rsid w:val="00D52BBB"/>
    <w:rsid w:val="00D536C5"/>
    <w:rsid w:val="00D672DD"/>
    <w:rsid w:val="00D715B3"/>
    <w:rsid w:val="00D82FCD"/>
    <w:rsid w:val="00DA0CC8"/>
    <w:rsid w:val="00DA3132"/>
    <w:rsid w:val="00DA328D"/>
    <w:rsid w:val="00DD2856"/>
    <w:rsid w:val="00DD6AFD"/>
    <w:rsid w:val="00DF47B8"/>
    <w:rsid w:val="00DF5F51"/>
    <w:rsid w:val="00DF7D29"/>
    <w:rsid w:val="00E02A68"/>
    <w:rsid w:val="00E10816"/>
    <w:rsid w:val="00E14F5A"/>
    <w:rsid w:val="00E21E57"/>
    <w:rsid w:val="00E350E7"/>
    <w:rsid w:val="00E35F31"/>
    <w:rsid w:val="00E43011"/>
    <w:rsid w:val="00E500B6"/>
    <w:rsid w:val="00E57E11"/>
    <w:rsid w:val="00E62C66"/>
    <w:rsid w:val="00E64D48"/>
    <w:rsid w:val="00E73308"/>
    <w:rsid w:val="00E8266F"/>
    <w:rsid w:val="00E8395B"/>
    <w:rsid w:val="00E90C7B"/>
    <w:rsid w:val="00E969B8"/>
    <w:rsid w:val="00EA105E"/>
    <w:rsid w:val="00EA5572"/>
    <w:rsid w:val="00EB748A"/>
    <w:rsid w:val="00EB7933"/>
    <w:rsid w:val="00EC4678"/>
    <w:rsid w:val="00ED7E39"/>
    <w:rsid w:val="00EE00FB"/>
    <w:rsid w:val="00EE0DDF"/>
    <w:rsid w:val="00EF16A8"/>
    <w:rsid w:val="00F0333B"/>
    <w:rsid w:val="00F03E4F"/>
    <w:rsid w:val="00F115E5"/>
    <w:rsid w:val="00F25F62"/>
    <w:rsid w:val="00F3244A"/>
    <w:rsid w:val="00F36D6B"/>
    <w:rsid w:val="00F37C68"/>
    <w:rsid w:val="00F457AF"/>
    <w:rsid w:val="00F464E8"/>
    <w:rsid w:val="00F53696"/>
    <w:rsid w:val="00F556E4"/>
    <w:rsid w:val="00F60C83"/>
    <w:rsid w:val="00F62872"/>
    <w:rsid w:val="00F65243"/>
    <w:rsid w:val="00F7142F"/>
    <w:rsid w:val="00F73824"/>
    <w:rsid w:val="00F768CD"/>
    <w:rsid w:val="00F76E5E"/>
    <w:rsid w:val="00FA12E6"/>
    <w:rsid w:val="00FB2F5F"/>
    <w:rsid w:val="00FD04BD"/>
    <w:rsid w:val="00FD2AC3"/>
    <w:rsid w:val="00FD62CC"/>
    <w:rsid w:val="00FD6A9A"/>
    <w:rsid w:val="00FE41AD"/>
    <w:rsid w:val="00FF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D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">
    <w:name w:val="Plain Table 4"/>
    <w:uiPriority w:val="99"/>
    <w:rsid w:val="003A6154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67A0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67A0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04B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D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04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80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80F05"/>
  </w:style>
  <w:style w:type="paragraph" w:styleId="Footer">
    <w:name w:val="footer"/>
    <w:basedOn w:val="Normal"/>
    <w:link w:val="FooterChar"/>
    <w:uiPriority w:val="99"/>
    <w:rsid w:val="00B80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0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4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3646</Words>
  <Characters>20787</Characters>
  <Application>Microsoft Office Outlook</Application>
  <DocSecurity>0</DocSecurity>
  <Lines>0</Lines>
  <Paragraphs>0</Paragraphs>
  <ScaleCrop>false</ScaleCrop>
  <Company>SBB Garantia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defr defr</dc:creator>
  <cp:keywords/>
  <dc:description/>
  <cp:lastModifiedBy>Veselov Vadim</cp:lastModifiedBy>
  <cp:revision>2</cp:revision>
  <cp:lastPrinted>2016-12-23T06:39:00Z</cp:lastPrinted>
  <dcterms:created xsi:type="dcterms:W3CDTF">2016-12-23T13:01:00Z</dcterms:created>
  <dcterms:modified xsi:type="dcterms:W3CDTF">2016-12-23T13:01:00Z</dcterms:modified>
</cp:coreProperties>
</file>